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EB27A" w14:textId="77777777" w:rsidR="001A0F41" w:rsidRDefault="001A0F41" w:rsidP="001A0F41">
      <w:pPr>
        <w:pStyle w:val="Heading2"/>
        <w:spacing w:before="171"/>
      </w:pPr>
      <w:r>
        <w:t>Sample</w:t>
      </w:r>
      <w:r>
        <w:rPr>
          <w:spacing w:val="-4"/>
        </w:rPr>
        <w:t xml:space="preserve"> </w:t>
      </w:r>
      <w:r>
        <w:rPr>
          <w:spacing w:val="-2"/>
        </w:rPr>
        <w:t>Abstract</w:t>
      </w:r>
    </w:p>
    <w:p w14:paraId="7661C975" w14:textId="77777777" w:rsidR="001A0F41" w:rsidRDefault="001A0F41" w:rsidP="001A0F41">
      <w:pPr>
        <w:spacing w:before="5"/>
        <w:ind w:left="360" w:hanging="361"/>
        <w:rPr>
          <w:sz w:val="24"/>
        </w:rPr>
      </w:pPr>
      <w:r>
        <w:rPr>
          <w:sz w:val="24"/>
        </w:rPr>
        <w:t>Oltjenbruns, K. A. (1991). Positive outcomes of adolescents’ experience with grief.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Journal of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Adolescent Research, 6 </w:t>
      </w:r>
      <w:r>
        <w:rPr>
          <w:sz w:val="24"/>
        </w:rPr>
        <w:t>(1), 43–53.</w:t>
      </w:r>
    </w:p>
    <w:p w14:paraId="207A9739" w14:textId="77777777" w:rsidR="001A0F41" w:rsidRDefault="001A0F41" w:rsidP="001A0F41">
      <w:pPr>
        <w:pStyle w:val="Heading1"/>
        <w:spacing w:before="273"/>
      </w:pPr>
      <w:r>
        <w:rPr>
          <w:spacing w:val="-2"/>
        </w:rPr>
        <w:t>INTRODUCTION</w:t>
      </w:r>
    </w:p>
    <w:p w14:paraId="1A083A27" w14:textId="2E84A9DA" w:rsidR="001A0F41" w:rsidRDefault="001A0F41" w:rsidP="001A0F41">
      <w:pPr>
        <w:pStyle w:val="BodyText"/>
        <w:ind w:right="358"/>
      </w:pPr>
      <w:r>
        <w:t>Reports suggest that by the time youngsters finish high school, 90 percent of them will have experienced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death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friend.</w:t>
      </w:r>
      <w:r>
        <w:rPr>
          <w:spacing w:val="-5"/>
        </w:rPr>
        <w:t xml:space="preserve"> </w:t>
      </w:r>
      <w:r>
        <w:t>Yet,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little</w:t>
      </w:r>
      <w:r>
        <w:rPr>
          <w:spacing w:val="-6"/>
        </w:rPr>
        <w:t xml:space="preserve"> </w:t>
      </w:r>
      <w:r>
        <w:t>grief-related</w:t>
      </w:r>
      <w:r>
        <w:rPr>
          <w:spacing w:val="-5"/>
        </w:rPr>
        <w:t xml:space="preserve"> </w:t>
      </w:r>
      <w:r>
        <w:t>literature examining adolescent populations, particularly in terms of possible positive outcomes to grief. Thus,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quantitative </w:t>
      </w:r>
      <w:r>
        <w:t>research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“examine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perceptions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adolescents</w:t>
      </w:r>
      <w:r>
        <w:rPr>
          <w:spacing w:val="-3"/>
        </w:rPr>
        <w:t xml:space="preserve"> </w:t>
      </w:r>
      <w:r>
        <w:t>regarding positive outcomes, if any, to the grief experience” and “to determine if there are significant differences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responses</w:t>
      </w:r>
      <w:r>
        <w:rPr>
          <w:spacing w:val="-12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ethnicity,</w:t>
      </w:r>
      <w:r>
        <w:rPr>
          <w:spacing w:val="-14"/>
        </w:rPr>
        <w:t xml:space="preserve"> </w:t>
      </w:r>
      <w:r>
        <w:t>gender,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personality</w:t>
      </w:r>
      <w:r>
        <w:rPr>
          <w:spacing w:val="-14"/>
        </w:rPr>
        <w:t xml:space="preserve"> </w:t>
      </w:r>
      <w:r>
        <w:t>variable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locus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control” (p. 46).</w:t>
      </w:r>
    </w:p>
    <w:p w14:paraId="48ABB8D8" w14:textId="77777777" w:rsidR="001A0F41" w:rsidRDefault="001A0F41" w:rsidP="001A0F41">
      <w:pPr>
        <w:pStyle w:val="BodyText"/>
        <w:spacing w:before="2"/>
        <w:jc w:val="left"/>
      </w:pPr>
    </w:p>
    <w:p w14:paraId="7EDF05AA" w14:textId="77777777" w:rsidR="001A0F41" w:rsidRDefault="001A0F41" w:rsidP="001A0F41">
      <w:pPr>
        <w:pStyle w:val="Heading1"/>
      </w:pPr>
      <w:r>
        <w:rPr>
          <w:spacing w:val="-2"/>
        </w:rPr>
        <w:t>METHOD</w:t>
      </w:r>
    </w:p>
    <w:p w14:paraId="4CE94ABC" w14:textId="77777777" w:rsidR="001A0F41" w:rsidRDefault="001A0F41" w:rsidP="001A0F41">
      <w:pPr>
        <w:pStyle w:val="Heading2"/>
        <w:spacing w:line="275" w:lineRule="exact"/>
      </w:pPr>
      <w:r>
        <w:rPr>
          <w:spacing w:val="-2"/>
        </w:rPr>
        <w:t>Participants</w:t>
      </w:r>
    </w:p>
    <w:p w14:paraId="2CE4F16E" w14:textId="77777777" w:rsidR="001A0F41" w:rsidRDefault="001A0F41" w:rsidP="001A0F41">
      <w:pPr>
        <w:pStyle w:val="BodyText"/>
        <w:ind w:right="359"/>
      </w:pPr>
      <w:r>
        <w:t>Research packets were</w:t>
      </w:r>
      <w:r>
        <w:rPr>
          <w:spacing w:val="-1"/>
        </w:rPr>
        <w:t xml:space="preserve"> </w:t>
      </w:r>
      <w:r>
        <w:t>mailed to a</w:t>
      </w:r>
      <w:r>
        <w:rPr>
          <w:spacing w:val="-1"/>
        </w:rPr>
        <w:t xml:space="preserve"> </w:t>
      </w:r>
      <w:r>
        <w:t>computer-generated random</w:t>
      </w:r>
      <w:r>
        <w:rPr>
          <w:spacing w:val="-1"/>
        </w:rPr>
        <w:t xml:space="preserve"> </w:t>
      </w:r>
      <w:r>
        <w:t>sample list</w:t>
      </w:r>
      <w:r>
        <w:rPr>
          <w:spacing w:val="-1"/>
        </w:rPr>
        <w:t xml:space="preserve"> </w:t>
      </w:r>
      <w:r>
        <w:t>of 1,200 addresses. A total of 336 individuals returned consent forms and completed surveys; however, only 93 fit the criteria for inclusion in the study. Of these 93 participants, 37 percent were Mexican-American, 63 percent were Anglo-American, 28 percent were male, and 72 percent were female. The age range of participants was 16 to 22 years old.</w:t>
      </w:r>
    </w:p>
    <w:p w14:paraId="660EC859" w14:textId="77777777" w:rsidR="001A0F41" w:rsidRDefault="001A0F41" w:rsidP="001A0F41">
      <w:pPr>
        <w:pStyle w:val="Heading2"/>
        <w:spacing w:before="275"/>
      </w:pPr>
      <w:r>
        <w:rPr>
          <w:spacing w:val="-2"/>
        </w:rPr>
        <w:t>Procedure</w:t>
      </w:r>
    </w:p>
    <w:p w14:paraId="6028F1CB" w14:textId="77777777" w:rsidR="001A0F41" w:rsidRDefault="001A0F41" w:rsidP="001A0F41">
      <w:pPr>
        <w:pStyle w:val="BodyText"/>
        <w:spacing w:before="4"/>
        <w:ind w:right="362"/>
      </w:pPr>
      <w:r>
        <w:t>Participants</w:t>
      </w:r>
      <w:r>
        <w:rPr>
          <w:spacing w:val="-12"/>
        </w:rPr>
        <w:t xml:space="preserve"> </w:t>
      </w:r>
      <w:r>
        <w:t>responded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question</w:t>
      </w:r>
      <w:r>
        <w:rPr>
          <w:spacing w:val="-9"/>
        </w:rPr>
        <w:t xml:space="preserve"> </w:t>
      </w:r>
      <w:r>
        <w:t>“What</w:t>
      </w:r>
      <w:r>
        <w:rPr>
          <w:spacing w:val="-15"/>
        </w:rPr>
        <w:t xml:space="preserve"> </w:t>
      </w:r>
      <w:r>
        <w:t>positive</w:t>
      </w:r>
      <w:r>
        <w:rPr>
          <w:spacing w:val="-10"/>
        </w:rPr>
        <w:t xml:space="preserve"> </w:t>
      </w:r>
      <w:r>
        <w:t>outcomes,</w:t>
      </w:r>
      <w:r>
        <w:rPr>
          <w:spacing w:val="-14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any,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feel</w:t>
      </w:r>
      <w:r>
        <w:rPr>
          <w:spacing w:val="-15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result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grief</w:t>
      </w:r>
      <w:r>
        <w:rPr>
          <w:spacing w:val="-1"/>
        </w:rPr>
        <w:t xml:space="preserve"> </w:t>
      </w:r>
      <w:r>
        <w:t>experience(s)? Check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apply”</w:t>
      </w:r>
      <w:r>
        <w:rPr>
          <w:spacing w:val="-2"/>
        </w:rPr>
        <w:t xml:space="preserve"> </w:t>
      </w:r>
      <w:r>
        <w:t>(p.</w:t>
      </w:r>
      <w:r>
        <w:rPr>
          <w:spacing w:val="-1"/>
        </w:rPr>
        <w:t xml:space="preserve"> </w:t>
      </w:r>
      <w:r>
        <w:t>47).</w:t>
      </w:r>
      <w:r>
        <w:rPr>
          <w:spacing w:val="-1"/>
        </w:rPr>
        <w:t xml:space="preserve"> </w:t>
      </w:r>
      <w:r>
        <w:t>Seven</w:t>
      </w:r>
      <w:r>
        <w:rPr>
          <w:spacing w:val="-1"/>
        </w:rPr>
        <w:t xml:space="preserve"> </w:t>
      </w:r>
      <w:r>
        <w:t>checklist</w:t>
      </w:r>
      <w:r>
        <w:rPr>
          <w:spacing w:val="-2"/>
        </w:rPr>
        <w:t xml:space="preserve"> </w:t>
      </w:r>
      <w:r>
        <w:t>options were</w:t>
      </w:r>
      <w:r>
        <w:rPr>
          <w:spacing w:val="-2"/>
        </w:rPr>
        <w:t xml:space="preserve"> </w:t>
      </w:r>
      <w:r>
        <w:t>included, for example, “have a deeper appreciation for life, developed emotional strength, and increased empathy for others” (p. 47). In order to measure the personality variable, participants also responded to the Rotter I-E Locus of Control Scale.</w:t>
      </w:r>
    </w:p>
    <w:p w14:paraId="1DD0F56E" w14:textId="77777777" w:rsidR="001A0F41" w:rsidRDefault="001A0F41" w:rsidP="001A0F41">
      <w:pPr>
        <w:pStyle w:val="BodyText"/>
        <w:jc w:val="left"/>
      </w:pPr>
    </w:p>
    <w:p w14:paraId="74643A06" w14:textId="77777777" w:rsidR="001A0F41" w:rsidRDefault="001A0F41" w:rsidP="001A0F41">
      <w:pPr>
        <w:pStyle w:val="Heading1"/>
        <w:spacing w:line="276" w:lineRule="exact"/>
      </w:pPr>
      <w:r>
        <w:rPr>
          <w:spacing w:val="-2"/>
        </w:rPr>
        <w:t>RESULTS</w:t>
      </w:r>
    </w:p>
    <w:p w14:paraId="4412F9CE" w14:textId="77777777" w:rsidR="001A0F41" w:rsidRDefault="001A0F41" w:rsidP="001A0F41">
      <w:pPr>
        <w:pStyle w:val="BodyText"/>
        <w:ind w:right="356"/>
      </w:pPr>
      <w:r>
        <w:t>Results indicated that 96 percent of the participants identified at least one positive outcome. The most</w:t>
      </w:r>
      <w:r>
        <w:rPr>
          <w:spacing w:val="-5"/>
        </w:rPr>
        <w:t xml:space="preserve"> </w:t>
      </w:r>
      <w:r>
        <w:t>frequent</w:t>
      </w:r>
      <w:r>
        <w:rPr>
          <w:spacing w:val="-5"/>
        </w:rPr>
        <w:t xml:space="preserve"> </w:t>
      </w:r>
      <w:r>
        <w:t>positive</w:t>
      </w:r>
      <w:r>
        <w:rPr>
          <w:spacing w:val="-5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“deeper</w:t>
      </w:r>
      <w:r>
        <w:rPr>
          <w:spacing w:val="-3"/>
        </w:rPr>
        <w:t xml:space="preserve"> </w:t>
      </w:r>
      <w:r>
        <w:t>appreciation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(74</w:t>
      </w:r>
      <w:r>
        <w:rPr>
          <w:spacing w:val="-3"/>
        </w:rPr>
        <w:t xml:space="preserve"> </w:t>
      </w:r>
      <w:r>
        <w:t>percent),</w:t>
      </w:r>
      <w:r>
        <w:rPr>
          <w:spacing w:val="-3"/>
        </w:rPr>
        <w:t xml:space="preserve"> </w:t>
      </w:r>
      <w:r>
        <w:t>greater caring</w:t>
      </w:r>
      <w:r>
        <w:rPr>
          <w:spacing w:val="-3"/>
        </w:rPr>
        <w:t xml:space="preserve"> </w:t>
      </w:r>
      <w:r>
        <w:t>for loved ones (67 percent), strengthened emotional bonds with others (56 percent), and developed emotional strength (53 percent)” (p. 48). The less-noted positive outcomes were “increased empathy for</w:t>
      </w:r>
      <w:r>
        <w:rPr>
          <w:spacing w:val="-4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(47 percent),</w:t>
      </w:r>
      <w:r>
        <w:rPr>
          <w:spacing w:val="-4"/>
        </w:rPr>
        <w:t xml:space="preserve"> </w:t>
      </w:r>
      <w:r>
        <w:t>better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(28</w:t>
      </w:r>
      <w:r>
        <w:rPr>
          <w:spacing w:val="-4"/>
        </w:rPr>
        <w:t xml:space="preserve"> </w:t>
      </w:r>
      <w:r>
        <w:t>percent), and enhanced problem solving</w:t>
      </w:r>
      <w:r>
        <w:rPr>
          <w:spacing w:val="-1"/>
        </w:rPr>
        <w:t xml:space="preserve"> </w:t>
      </w:r>
      <w:r>
        <w:t>skills (9</w:t>
      </w:r>
      <w:r>
        <w:rPr>
          <w:spacing w:val="-1"/>
        </w:rPr>
        <w:t xml:space="preserve"> </w:t>
      </w:r>
      <w:r>
        <w:t>percent)”</w:t>
      </w:r>
      <w:r>
        <w:rPr>
          <w:spacing w:val="-2"/>
        </w:rPr>
        <w:t xml:space="preserve"> </w:t>
      </w:r>
      <w:r>
        <w:t>(p. 48).</w:t>
      </w:r>
      <w:r>
        <w:rPr>
          <w:spacing w:val="-1"/>
        </w:rPr>
        <w:t xml:space="preserve"> </w:t>
      </w:r>
      <w:r>
        <w:t>Chi-square</w:t>
      </w:r>
      <w:r>
        <w:rPr>
          <w:spacing w:val="-2"/>
        </w:rPr>
        <w:t xml:space="preserve"> </w:t>
      </w:r>
      <w:r>
        <w:t>tests with</w:t>
      </w:r>
      <w:r>
        <w:rPr>
          <w:spacing w:val="-1"/>
        </w:rPr>
        <w:t xml:space="preserve"> </w:t>
      </w:r>
      <w:r>
        <w:t>Yates correction</w:t>
      </w:r>
      <w:r>
        <w:rPr>
          <w:spacing w:val="-1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computed to determine if there were significant differences in responses between ethnic groups or gender. No</w:t>
      </w:r>
      <w:r>
        <w:rPr>
          <w:spacing w:val="-13"/>
        </w:rPr>
        <w:t xml:space="preserve"> </w:t>
      </w:r>
      <w:r>
        <w:t>differences</w:t>
      </w:r>
      <w:r>
        <w:rPr>
          <w:spacing w:val="-11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found.</w:t>
      </w:r>
      <w:r>
        <w:rPr>
          <w:spacing w:val="-12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“significantly</w:t>
      </w:r>
      <w:r>
        <w:rPr>
          <w:spacing w:val="-8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internal</w:t>
      </w:r>
      <w:r>
        <w:rPr>
          <w:spacing w:val="-14"/>
        </w:rPr>
        <w:t xml:space="preserve"> </w:t>
      </w:r>
      <w:r>
        <w:t>locus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control orientation reported that better communication skills were a positive outcome of their grief experience (</w:t>
      </w:r>
      <w:r>
        <w:rPr>
          <w:i/>
        </w:rPr>
        <w:t>X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t xml:space="preserve">= 4.153 [1, N = 93], </w:t>
      </w:r>
      <w:r>
        <w:rPr>
          <w:i/>
        </w:rPr>
        <w:t xml:space="preserve">p </w:t>
      </w:r>
      <w:r>
        <w:t>&lt; .05)” (p. 48). Some participants added positive outcomes that were not included in the list, for example, “put priorities in a different perspective and made me more independent” (p. 49).</w:t>
      </w:r>
    </w:p>
    <w:p w14:paraId="270636F8" w14:textId="77777777" w:rsidR="001A0F41" w:rsidRDefault="001A0F41" w:rsidP="001A0F41">
      <w:pPr>
        <w:pStyle w:val="BodyText"/>
        <w:spacing w:before="3"/>
        <w:jc w:val="left"/>
      </w:pPr>
    </w:p>
    <w:p w14:paraId="3477877C" w14:textId="77777777" w:rsidR="001A0F41" w:rsidRDefault="001A0F41" w:rsidP="001A0F41">
      <w:pPr>
        <w:pStyle w:val="Heading1"/>
        <w:spacing w:line="240" w:lineRule="auto"/>
      </w:pPr>
      <w:r>
        <w:rPr>
          <w:spacing w:val="-2"/>
        </w:rPr>
        <w:t>DISCUSSION</w:t>
      </w:r>
    </w:p>
    <w:p w14:paraId="47C5DCCE" w14:textId="4ECB0C69" w:rsidR="00380836" w:rsidRDefault="001A0F41">
      <w:pPr>
        <w:pStyle w:val="BodyText"/>
        <w:spacing w:before="61"/>
        <w:ind w:right="367"/>
      </w:pPr>
      <w:r>
        <w:t>It is suggested that learning more about adolescent grief reactions, both painful and positive outcomes,</w:t>
      </w:r>
      <w:r>
        <w:rPr>
          <w:spacing w:val="-9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beneficial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griever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helper.</w:t>
      </w:r>
      <w:r>
        <w:rPr>
          <w:spacing w:val="-8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suggested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research be conducted.</w:t>
      </w:r>
    </w:p>
    <w:sectPr w:rsidR="00380836" w:rsidSect="001A0F41"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6BA"/>
    <w:multiLevelType w:val="hybridMultilevel"/>
    <w:tmpl w:val="B142D8B6"/>
    <w:lvl w:ilvl="0" w:tplc="461AE338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16DCF8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D9646C1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F59AB50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C38E33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FF5CF7D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938723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F67470A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EC22738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AC7882"/>
    <w:multiLevelType w:val="hybridMultilevel"/>
    <w:tmpl w:val="B8CE50DC"/>
    <w:lvl w:ilvl="0" w:tplc="7C5C69EA">
      <w:numFmt w:val="bullet"/>
      <w:lvlText w:val="o"/>
      <w:lvlJc w:val="left"/>
      <w:pPr>
        <w:ind w:left="14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0FC29F0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4572BC2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488EF19A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4828AEDC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AB403226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4CDAC998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7FE294A2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AF5E3B6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1692798710">
    <w:abstractNumId w:val="1"/>
  </w:num>
  <w:num w:numId="2" w16cid:durableId="63950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0836"/>
    <w:rsid w:val="000F19AB"/>
    <w:rsid w:val="001A0F41"/>
    <w:rsid w:val="002D772D"/>
    <w:rsid w:val="00380836"/>
    <w:rsid w:val="0045470E"/>
    <w:rsid w:val="005F0B91"/>
    <w:rsid w:val="00767D67"/>
    <w:rsid w:val="00BC0A3E"/>
    <w:rsid w:val="00DC0BAE"/>
    <w:rsid w:val="00F47856"/>
    <w:rsid w:val="6F8E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C6D90"/>
  <w15:docId w15:val="{6098F59D-8D0C-4F0B-8CEB-A6368E1A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spacing w:line="275" w:lineRule="exac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440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A0F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0F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0F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Sherria</dc:creator>
  <cp:keywords/>
  <cp:lastModifiedBy>Safi, Maysa M.</cp:lastModifiedBy>
  <cp:revision>4</cp:revision>
  <cp:lastPrinted>2026-05-14T16:43:00Z</cp:lastPrinted>
  <dcterms:created xsi:type="dcterms:W3CDTF">2026-05-14T16:44:00Z</dcterms:created>
  <dcterms:modified xsi:type="dcterms:W3CDTF">2026-05-14T16:49:00Z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2026-05-14T00:00:00Z</vt:filetime>
  </property>
</Properties>
</file>